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5" w:type="dxa"/>
        <w:tblInd w:w="108" w:type="dxa"/>
        <w:tblLayout w:type="fixed"/>
        <w:tblLook w:val="04A0" w:firstRow="1" w:lastRow="0" w:firstColumn="1" w:lastColumn="0" w:noHBand="0" w:noVBand="1"/>
      </w:tblPr>
      <w:tblGrid>
        <w:gridCol w:w="34"/>
        <w:gridCol w:w="817"/>
        <w:gridCol w:w="1451"/>
        <w:gridCol w:w="267"/>
        <w:gridCol w:w="6395"/>
        <w:gridCol w:w="11"/>
      </w:tblGrid>
      <w:tr w:rsidR="00C92729" w:rsidRPr="00575235" w14:paraId="37662003" w14:textId="77777777" w:rsidTr="0041652A">
        <w:tc>
          <w:tcPr>
            <w:tcW w:w="2569" w:type="dxa"/>
            <w:gridSpan w:val="4"/>
            <w:shd w:val="clear" w:color="auto" w:fill="auto"/>
          </w:tcPr>
          <w:p w14:paraId="0F0F876A"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gridSpan w:val="2"/>
            <w:shd w:val="clear" w:color="auto" w:fill="auto"/>
          </w:tcPr>
          <w:p w14:paraId="61CAAD45" w14:textId="77777777" w:rsidR="00F445B1" w:rsidRPr="00575235" w:rsidRDefault="00C92729" w:rsidP="00203C5C">
            <w:pPr>
              <w:tabs>
                <w:tab w:val="left" w:pos="8647"/>
              </w:tabs>
              <w:ind w:right="1076"/>
              <w:rPr>
                <w:rStyle w:val="Firstpagetablebold"/>
                <w:rFonts w:cs="Arial"/>
                <w:color w:val="auto"/>
              </w:rPr>
            </w:pPr>
            <w:r w:rsidRPr="00575235">
              <w:rPr>
                <w:rStyle w:val="Firstpagetablebold"/>
                <w:rFonts w:cs="Arial"/>
                <w:color w:val="auto"/>
              </w:rPr>
              <w:t>Oxford City Housing Ltd</w:t>
            </w:r>
            <w:r w:rsidR="004711FC" w:rsidRPr="00575235">
              <w:rPr>
                <w:rStyle w:val="Firstpagetablebold"/>
                <w:rFonts w:cs="Arial"/>
                <w:color w:val="auto"/>
              </w:rPr>
              <w:t xml:space="preserve"> Shareholder </w:t>
            </w:r>
            <w:r w:rsidR="00475860" w:rsidRPr="00575235">
              <w:rPr>
                <w:rStyle w:val="Firstpagetablebold"/>
                <w:rFonts w:cs="Arial"/>
                <w:color w:val="auto"/>
              </w:rPr>
              <w:t>Meeting</w:t>
            </w:r>
          </w:p>
        </w:tc>
      </w:tr>
      <w:tr w:rsidR="00C92729" w:rsidRPr="00575235" w14:paraId="7A1118F2" w14:textId="77777777" w:rsidTr="0041652A">
        <w:tc>
          <w:tcPr>
            <w:tcW w:w="2569" w:type="dxa"/>
            <w:gridSpan w:val="4"/>
            <w:shd w:val="clear" w:color="auto" w:fill="auto"/>
          </w:tcPr>
          <w:p w14:paraId="63E6D4CD"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gridSpan w:val="2"/>
            <w:shd w:val="clear" w:color="auto" w:fill="auto"/>
          </w:tcPr>
          <w:p w14:paraId="297EA1C7" w14:textId="77777777" w:rsidR="00F445B1" w:rsidRPr="00575235" w:rsidRDefault="00A97094" w:rsidP="00A97094">
            <w:pPr>
              <w:tabs>
                <w:tab w:val="left" w:pos="8647"/>
              </w:tabs>
              <w:ind w:right="1076"/>
              <w:rPr>
                <w:rFonts w:cs="Arial"/>
                <w:b/>
                <w:color w:val="auto"/>
              </w:rPr>
            </w:pPr>
            <w:r>
              <w:rPr>
                <w:rFonts w:cs="Arial"/>
                <w:b/>
                <w:color w:val="auto"/>
              </w:rPr>
              <w:t xml:space="preserve">24 June </w:t>
            </w:r>
            <w:r w:rsidR="003058CB">
              <w:rPr>
                <w:rFonts w:cs="Arial"/>
                <w:b/>
                <w:color w:val="auto"/>
              </w:rPr>
              <w:t>2020</w:t>
            </w:r>
          </w:p>
        </w:tc>
      </w:tr>
      <w:tr w:rsidR="00C92729" w:rsidRPr="00575235" w14:paraId="574DAD48" w14:textId="77777777" w:rsidTr="0041652A">
        <w:tc>
          <w:tcPr>
            <w:tcW w:w="2569" w:type="dxa"/>
            <w:gridSpan w:val="4"/>
            <w:shd w:val="clear" w:color="auto" w:fill="auto"/>
          </w:tcPr>
          <w:p w14:paraId="7CF6EAF4"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gridSpan w:val="2"/>
            <w:shd w:val="clear" w:color="auto" w:fill="auto"/>
          </w:tcPr>
          <w:p w14:paraId="27A09A56" w14:textId="77777777" w:rsidR="00F445B1" w:rsidRPr="00575235" w:rsidRDefault="006D052F" w:rsidP="00203C5C">
            <w:pPr>
              <w:tabs>
                <w:tab w:val="left" w:pos="8647"/>
              </w:tabs>
              <w:ind w:right="1076"/>
              <w:rPr>
                <w:rStyle w:val="Firstpagetablebold"/>
                <w:rFonts w:cs="Arial"/>
                <w:color w:val="auto"/>
              </w:rPr>
            </w:pPr>
            <w:r w:rsidRPr="00575235">
              <w:rPr>
                <w:rStyle w:val="Firstpagetablebold"/>
                <w:rFonts w:cs="Arial"/>
                <w:color w:val="auto"/>
              </w:rPr>
              <w:t>Jane Winfield</w:t>
            </w:r>
            <w:r w:rsidR="000947DC">
              <w:rPr>
                <w:rStyle w:val="Firstpagetablebold"/>
                <w:rFonts w:cs="Arial"/>
                <w:color w:val="auto"/>
              </w:rPr>
              <w:t>, Regeneration and Major Projects Service M</w:t>
            </w:r>
            <w:r w:rsidR="00C0652D" w:rsidRPr="00575235">
              <w:rPr>
                <w:rStyle w:val="Firstpagetablebold"/>
                <w:rFonts w:cs="Arial"/>
                <w:color w:val="auto"/>
              </w:rPr>
              <w:t xml:space="preserve">anager </w:t>
            </w:r>
          </w:p>
        </w:tc>
      </w:tr>
      <w:tr w:rsidR="00C92729" w:rsidRPr="00575235" w14:paraId="6E3D80FC" w14:textId="77777777" w:rsidTr="0041652A">
        <w:tc>
          <w:tcPr>
            <w:tcW w:w="2569" w:type="dxa"/>
            <w:gridSpan w:val="4"/>
            <w:shd w:val="clear" w:color="auto" w:fill="auto"/>
          </w:tcPr>
          <w:p w14:paraId="59FD8D67"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406" w:type="dxa"/>
            <w:gridSpan w:val="2"/>
            <w:shd w:val="clear" w:color="auto" w:fill="auto"/>
          </w:tcPr>
          <w:p w14:paraId="6F2697FC" w14:textId="77777777"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ting to Barton Park D</w:t>
            </w:r>
            <w:r w:rsidR="006D052F" w:rsidRPr="00575235">
              <w:rPr>
                <w:rStyle w:val="Firstpagetablebold"/>
                <w:rFonts w:cs="Arial"/>
                <w:color w:val="auto"/>
              </w:rPr>
              <w:t>evelopment</w:t>
            </w:r>
          </w:p>
          <w:p w14:paraId="36A18A25"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78A12DBC"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445"/>
        </w:trPr>
        <w:tc>
          <w:tcPr>
            <w:tcW w:w="8930" w:type="dxa"/>
            <w:gridSpan w:val="4"/>
            <w:tcBorders>
              <w:bottom w:val="single" w:sz="8" w:space="0" w:color="000000"/>
            </w:tcBorders>
            <w:hideMark/>
          </w:tcPr>
          <w:p w14:paraId="488A31B1"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1BAB7EAB"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608"/>
        </w:trPr>
        <w:tc>
          <w:tcPr>
            <w:tcW w:w="2268" w:type="dxa"/>
            <w:gridSpan w:val="2"/>
            <w:tcBorders>
              <w:top w:val="single" w:sz="8" w:space="0" w:color="000000"/>
              <w:left w:val="single" w:sz="8" w:space="0" w:color="000000"/>
              <w:bottom w:val="single" w:sz="4" w:space="0" w:color="auto"/>
              <w:right w:val="nil"/>
            </w:tcBorders>
            <w:hideMark/>
          </w:tcPr>
          <w:p w14:paraId="5A648EB7"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6662" w:type="dxa"/>
            <w:gridSpan w:val="2"/>
            <w:tcBorders>
              <w:top w:val="single" w:sz="8" w:space="0" w:color="000000"/>
              <w:left w:val="nil"/>
              <w:bottom w:val="single" w:sz="4" w:space="0" w:color="auto"/>
              <w:right w:val="single" w:sz="8" w:space="0" w:color="000000"/>
            </w:tcBorders>
          </w:tcPr>
          <w:p w14:paraId="5EC3E16A" w14:textId="77777777" w:rsidR="00591686" w:rsidRPr="00575235" w:rsidRDefault="00591686" w:rsidP="00A97094">
            <w:pPr>
              <w:tabs>
                <w:tab w:val="left" w:pos="8647"/>
              </w:tabs>
              <w:ind w:right="1076"/>
              <w:rPr>
                <w:rFonts w:cs="Arial"/>
              </w:rPr>
            </w:pPr>
            <w:r w:rsidRPr="00575235">
              <w:rPr>
                <w:rFonts w:cs="Arial"/>
              </w:rPr>
              <w:t>This report provides an update into the activities of Barton Oxford LLP over the</w:t>
            </w:r>
            <w:r w:rsidR="00A97094">
              <w:rPr>
                <w:rFonts w:cs="Arial"/>
              </w:rPr>
              <w:t xml:space="preserve"> past two</w:t>
            </w:r>
            <w:r w:rsidRPr="00575235">
              <w:rPr>
                <w:rFonts w:cs="Arial"/>
              </w:rPr>
              <w:t xml:space="preserve"> quarter</w:t>
            </w:r>
            <w:r w:rsidR="00A97094">
              <w:rPr>
                <w:rFonts w:cs="Arial"/>
              </w:rPr>
              <w:t>s</w:t>
            </w:r>
            <w:r w:rsidR="000947DC">
              <w:rPr>
                <w:rFonts w:cs="Arial"/>
              </w:rPr>
              <w:t>.</w:t>
            </w:r>
          </w:p>
        </w:tc>
      </w:tr>
      <w:tr w:rsidR="005F7F7E" w:rsidRPr="00575235" w14:paraId="03FBE6FE"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19"/>
        </w:trPr>
        <w:tc>
          <w:tcPr>
            <w:tcW w:w="8930" w:type="dxa"/>
            <w:gridSpan w:val="4"/>
            <w:tcBorders>
              <w:top w:val="single" w:sz="4" w:space="0" w:color="auto"/>
              <w:bottom w:val="nil"/>
            </w:tcBorders>
          </w:tcPr>
          <w:p w14:paraId="1D2733D3" w14:textId="77777777" w:rsidR="005F7F7E" w:rsidRPr="00575235" w:rsidRDefault="005F7F7E" w:rsidP="00203C5C">
            <w:pPr>
              <w:tabs>
                <w:tab w:val="left" w:pos="8647"/>
              </w:tabs>
              <w:ind w:right="1076"/>
              <w:rPr>
                <w:rFonts w:cs="Arial"/>
              </w:rPr>
            </w:pPr>
            <w:r w:rsidRPr="00575235">
              <w:rPr>
                <w:rStyle w:val="Firstpagetablebold"/>
                <w:rFonts w:cs="Arial"/>
              </w:rPr>
              <w:t>Recommendation(s):</w:t>
            </w:r>
            <w:r w:rsidR="00E13656" w:rsidRPr="00575235">
              <w:rPr>
                <w:rStyle w:val="Firstpagetablebold"/>
                <w:rFonts w:cs="Arial"/>
              </w:rPr>
              <w:t>There is a resolution to</w:t>
            </w:r>
            <w:r w:rsidRPr="00575235">
              <w:rPr>
                <w:rStyle w:val="Firstpagetablebold"/>
                <w:rFonts w:cs="Arial"/>
              </w:rPr>
              <w:t>:</w:t>
            </w:r>
          </w:p>
        </w:tc>
      </w:tr>
      <w:tr w:rsidR="0030208D" w:rsidRPr="00575235" w14:paraId="101336E9"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07"/>
        </w:trPr>
        <w:tc>
          <w:tcPr>
            <w:tcW w:w="817" w:type="dxa"/>
            <w:tcBorders>
              <w:top w:val="nil"/>
              <w:left w:val="single" w:sz="8" w:space="0" w:color="000000"/>
              <w:bottom w:val="single" w:sz="4" w:space="0" w:color="auto"/>
              <w:right w:val="nil"/>
            </w:tcBorders>
          </w:tcPr>
          <w:p w14:paraId="71D960BB" w14:textId="77777777" w:rsidR="0030208D" w:rsidRPr="00575235" w:rsidRDefault="0030208D" w:rsidP="00203C5C">
            <w:pPr>
              <w:pStyle w:val="ListParagraph"/>
              <w:numPr>
                <w:ilvl w:val="0"/>
                <w:numId w:val="31"/>
              </w:numPr>
              <w:tabs>
                <w:tab w:val="clear" w:pos="426"/>
                <w:tab w:val="left" w:pos="8647"/>
              </w:tabs>
              <w:ind w:left="317" w:right="1076" w:hanging="141"/>
              <w:jc w:val="center"/>
              <w:rPr>
                <w:rFonts w:cs="Arial"/>
              </w:rPr>
            </w:pPr>
          </w:p>
        </w:tc>
        <w:tc>
          <w:tcPr>
            <w:tcW w:w="8113" w:type="dxa"/>
            <w:gridSpan w:val="3"/>
            <w:tcBorders>
              <w:top w:val="nil"/>
              <w:left w:val="nil"/>
              <w:bottom w:val="single" w:sz="4" w:space="0" w:color="auto"/>
              <w:right w:val="single" w:sz="8" w:space="0" w:color="000000"/>
            </w:tcBorders>
            <w:shd w:val="clear" w:color="auto" w:fill="auto"/>
          </w:tcPr>
          <w:p w14:paraId="3B60EA8F" w14:textId="77777777"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14:paraId="4C2E3CA5" w14:textId="77777777" w:rsidR="00CE544A" w:rsidRPr="00575235" w:rsidRDefault="00CE544A" w:rsidP="00203C5C">
      <w:pPr>
        <w:tabs>
          <w:tab w:val="left" w:pos="8647"/>
        </w:tabs>
        <w:ind w:right="1076"/>
        <w:rPr>
          <w:rFonts w:cs="Arial"/>
        </w:rPr>
      </w:pPr>
    </w:p>
    <w:tbl>
      <w:tblPr>
        <w:tblW w:w="893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0"/>
      </w:tblGrid>
      <w:tr w:rsidR="00966D42" w:rsidRPr="00575235" w14:paraId="42928973" w14:textId="77777777" w:rsidTr="001A530C">
        <w:trPr>
          <w:trHeight w:val="487"/>
        </w:trPr>
        <w:tc>
          <w:tcPr>
            <w:tcW w:w="8930" w:type="dxa"/>
            <w:gridSpan w:val="2"/>
            <w:tcBorders>
              <w:top w:val="single" w:sz="8" w:space="0" w:color="000000"/>
              <w:left w:val="single" w:sz="8" w:space="0" w:color="000000"/>
              <w:bottom w:val="single" w:sz="8" w:space="0" w:color="000000"/>
              <w:right w:val="single" w:sz="8" w:space="0" w:color="000000"/>
            </w:tcBorders>
            <w:shd w:val="clear" w:color="auto" w:fill="auto"/>
          </w:tcPr>
          <w:p w14:paraId="24D96208" w14:textId="77777777"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ED5860" w:rsidRPr="00575235" w14:paraId="0F2E360D" w14:textId="77777777" w:rsidTr="001A530C">
        <w:trPr>
          <w:trHeight w:val="372"/>
        </w:trPr>
        <w:tc>
          <w:tcPr>
            <w:tcW w:w="2410" w:type="dxa"/>
            <w:tcBorders>
              <w:top w:val="single" w:sz="8" w:space="0" w:color="000000"/>
              <w:left w:val="single" w:sz="8" w:space="0" w:color="000000"/>
              <w:bottom w:val="single" w:sz="4" w:space="0" w:color="auto"/>
              <w:right w:val="nil"/>
            </w:tcBorders>
            <w:shd w:val="clear" w:color="auto" w:fill="auto"/>
          </w:tcPr>
          <w:p w14:paraId="0AAFD1A1" w14:textId="77777777" w:rsidR="00ED5860" w:rsidRPr="00575235" w:rsidRDefault="00840B10" w:rsidP="0041652A">
            <w:pPr>
              <w:tabs>
                <w:tab w:val="left" w:pos="8647"/>
              </w:tabs>
              <w:ind w:right="325"/>
              <w:rPr>
                <w:rFonts w:cs="Arial"/>
                <w:color w:val="auto"/>
              </w:rPr>
            </w:pPr>
            <w:r w:rsidRPr="00575235">
              <w:rPr>
                <w:rFonts w:cs="Arial"/>
                <w:color w:val="auto"/>
              </w:rPr>
              <w:t xml:space="preserve">Appendix </w:t>
            </w:r>
            <w:r w:rsidR="0041652A">
              <w:rPr>
                <w:rFonts w:cs="Arial"/>
                <w:color w:val="auto"/>
              </w:rPr>
              <w:t>1</w:t>
            </w:r>
          </w:p>
        </w:tc>
        <w:tc>
          <w:tcPr>
            <w:tcW w:w="6520" w:type="dxa"/>
            <w:tcBorders>
              <w:top w:val="single" w:sz="8" w:space="0" w:color="000000"/>
              <w:left w:val="nil"/>
              <w:bottom w:val="single" w:sz="4" w:space="0" w:color="auto"/>
              <w:right w:val="single" w:sz="8" w:space="0" w:color="000000"/>
            </w:tcBorders>
          </w:tcPr>
          <w:p w14:paraId="1609C098" w14:textId="77777777" w:rsidR="00ED5860" w:rsidRPr="00575235" w:rsidRDefault="00A464C4" w:rsidP="0041652A">
            <w:pPr>
              <w:tabs>
                <w:tab w:val="left" w:pos="8647"/>
              </w:tabs>
              <w:ind w:right="1076"/>
              <w:rPr>
                <w:rFonts w:cs="Arial"/>
                <w:color w:val="auto"/>
              </w:rPr>
            </w:pPr>
            <w:r w:rsidRPr="00575235">
              <w:rPr>
                <w:rFonts w:cs="Arial"/>
                <w:color w:val="auto"/>
              </w:rPr>
              <w:t xml:space="preserve">Not for publication </w:t>
            </w:r>
            <w:r w:rsidR="0041652A">
              <w:rPr>
                <w:rFonts w:cs="Arial"/>
                <w:color w:val="auto"/>
              </w:rPr>
              <w:t xml:space="preserve">- </w:t>
            </w:r>
            <w:r w:rsidRPr="00575235">
              <w:rPr>
                <w:rFonts w:cs="Arial"/>
                <w:color w:val="auto"/>
              </w:rPr>
              <w:t>sales and marketing</w:t>
            </w:r>
            <w:r w:rsidR="002A2D09">
              <w:rPr>
                <w:rFonts w:cs="Arial"/>
                <w:color w:val="auto"/>
              </w:rPr>
              <w:t>.</w:t>
            </w:r>
            <w:r w:rsidRPr="00575235">
              <w:rPr>
                <w:rFonts w:cs="Arial"/>
                <w:color w:val="auto"/>
              </w:rPr>
              <w:t xml:space="preserve"> </w:t>
            </w:r>
          </w:p>
        </w:tc>
      </w:tr>
    </w:tbl>
    <w:p w14:paraId="72366768" w14:textId="77777777" w:rsidR="0041652A" w:rsidRPr="00575235" w:rsidRDefault="0041652A" w:rsidP="00203C5C">
      <w:pPr>
        <w:tabs>
          <w:tab w:val="left" w:pos="8647"/>
        </w:tabs>
        <w:spacing w:after="0"/>
        <w:ind w:right="1076"/>
        <w:rPr>
          <w:rFonts w:eastAsiaTheme="minorHAnsi" w:cs="Arial"/>
          <w:color w:val="auto"/>
          <w:lang w:eastAsia="en-US"/>
        </w:rPr>
      </w:pPr>
      <w:bookmarkStart w:id="0" w:name="_GoBack"/>
      <w:bookmarkEnd w:id="0"/>
    </w:p>
    <w:p w14:paraId="2C2A0495" w14:textId="77777777" w:rsidR="00FB7F38" w:rsidRPr="00575235" w:rsidRDefault="00FB7F38" w:rsidP="00B423A6">
      <w:pPr>
        <w:pStyle w:val="Heading1"/>
        <w:rPr>
          <w:rFonts w:eastAsiaTheme="minorHAnsi"/>
          <w:lang w:eastAsia="en-US"/>
        </w:rPr>
      </w:pPr>
      <w:r w:rsidRPr="00575235">
        <w:rPr>
          <w:rFonts w:eastAsiaTheme="minorHAnsi"/>
          <w:lang w:eastAsia="en-US"/>
        </w:rPr>
        <w:t xml:space="preserve">Introduction and </w:t>
      </w:r>
      <w:r w:rsidR="008B593E" w:rsidRPr="00575235">
        <w:rPr>
          <w:rFonts w:eastAsiaTheme="minorHAnsi"/>
          <w:lang w:eastAsia="en-US"/>
        </w:rPr>
        <w:t>b</w:t>
      </w:r>
      <w:r w:rsidRPr="00575235">
        <w:rPr>
          <w:rFonts w:eastAsiaTheme="minorHAnsi"/>
          <w:lang w:eastAsia="en-US"/>
        </w:rPr>
        <w:t>ackground</w:t>
      </w:r>
    </w:p>
    <w:p w14:paraId="62FE8F16" w14:textId="77777777" w:rsidR="0057130A" w:rsidRDefault="007859F3" w:rsidP="00B423A6">
      <w:pPr>
        <w:pStyle w:val="bParagraphtext"/>
        <w:rPr>
          <w:rFonts w:eastAsiaTheme="minorHAnsi"/>
          <w:lang w:eastAsia="en-US"/>
        </w:rPr>
      </w:pPr>
      <w:r w:rsidRPr="00AD78FD">
        <w:rPr>
          <w:rFonts w:eastAsiaTheme="minorHAnsi"/>
          <w:lang w:eastAsia="en-US"/>
        </w:rPr>
        <w:t xml:space="preserve">This is the </w:t>
      </w:r>
      <w:r w:rsidR="0041652A">
        <w:rPr>
          <w:rFonts w:eastAsiaTheme="minorHAnsi"/>
          <w:lang w:eastAsia="en-US"/>
        </w:rPr>
        <w:t>f</w:t>
      </w:r>
      <w:r w:rsidR="00A97094">
        <w:rPr>
          <w:rFonts w:eastAsiaTheme="minorHAnsi"/>
          <w:lang w:eastAsia="en-US"/>
        </w:rPr>
        <w:t>ifth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w:t>
      </w:r>
      <w:r w:rsidR="00E30BB3" w:rsidRPr="00B423A6">
        <w:rPr>
          <w:rFonts w:eastAsiaTheme="minorHAnsi"/>
        </w:rPr>
        <w:t xml:space="preserve"> </w:t>
      </w:r>
      <w:r w:rsidR="004C0C86" w:rsidRPr="00AD78FD">
        <w:rPr>
          <w:rFonts w:eastAsiaTheme="minorHAnsi"/>
          <w:lang w:eastAsia="en-US"/>
        </w:rPr>
        <w:t xml:space="preserve">November </w:t>
      </w:r>
      <w:r w:rsidR="00E30BB3" w:rsidRPr="00AD78FD">
        <w:rPr>
          <w:rFonts w:eastAsiaTheme="minorHAnsi"/>
          <w:lang w:eastAsia="en-US"/>
        </w:rPr>
        <w:t>2019</w:t>
      </w:r>
      <w:r w:rsidRPr="00AD78FD">
        <w:rPr>
          <w:rFonts w:eastAsiaTheme="minorHAnsi"/>
          <w:lang w:eastAsia="en-US"/>
        </w:rPr>
        <w:t xml:space="preserve">. </w:t>
      </w:r>
    </w:p>
    <w:p w14:paraId="5AC4195B" w14:textId="77777777" w:rsidR="00307A24" w:rsidRDefault="00307A24" w:rsidP="00B423A6">
      <w:pPr>
        <w:pStyle w:val="Heading1"/>
        <w:rPr>
          <w:rFonts w:eastAsiaTheme="minorHAnsi"/>
          <w:lang w:eastAsia="en-US"/>
        </w:rPr>
      </w:pPr>
      <w:r w:rsidRPr="00307A24">
        <w:rPr>
          <w:rFonts w:eastAsiaTheme="minorHAnsi"/>
          <w:lang w:eastAsia="en-US"/>
        </w:rPr>
        <w:t xml:space="preserve">Coronavirus </w:t>
      </w:r>
    </w:p>
    <w:p w14:paraId="300D9426" w14:textId="77777777" w:rsidR="00307A24" w:rsidRDefault="00307A24" w:rsidP="00B423A6">
      <w:pPr>
        <w:pStyle w:val="bParagraphtext"/>
        <w:rPr>
          <w:rFonts w:eastAsiaTheme="minorHAnsi"/>
          <w:lang w:eastAsia="en-US"/>
        </w:rPr>
      </w:pPr>
      <w:r>
        <w:rPr>
          <w:rFonts w:eastAsiaTheme="minorHAnsi"/>
          <w:lang w:eastAsia="en-US"/>
        </w:rPr>
        <w:t xml:space="preserve">The pandemic meant that all building sites were closed in </w:t>
      </w:r>
      <w:r w:rsidR="00C905BB">
        <w:rPr>
          <w:rFonts w:eastAsiaTheme="minorHAnsi"/>
          <w:lang w:eastAsia="en-US"/>
        </w:rPr>
        <w:t>M</w:t>
      </w:r>
      <w:r>
        <w:rPr>
          <w:rFonts w:eastAsiaTheme="minorHAnsi"/>
          <w:lang w:eastAsia="en-US"/>
        </w:rPr>
        <w:t>arch although Hill</w:t>
      </w:r>
      <w:r w:rsidR="00BD1A6B">
        <w:rPr>
          <w:rFonts w:eastAsiaTheme="minorHAnsi"/>
          <w:lang w:eastAsia="en-US"/>
        </w:rPr>
        <w:t xml:space="preserve">, </w:t>
      </w:r>
      <w:r>
        <w:rPr>
          <w:rFonts w:eastAsiaTheme="minorHAnsi"/>
          <w:lang w:eastAsia="en-US"/>
        </w:rPr>
        <w:t xml:space="preserve">Redrow and the school contractors are </w:t>
      </w:r>
      <w:r>
        <w:rPr>
          <w:rFonts w:eastAsiaTheme="minorHAnsi"/>
          <w:lang w:eastAsia="en-US"/>
        </w:rPr>
        <w:lastRenderedPageBreak/>
        <w:t>now back on site observing Government guidance on safe working practices.</w:t>
      </w:r>
    </w:p>
    <w:p w14:paraId="13F9325A" w14:textId="18E45885" w:rsidR="00307A24" w:rsidRPr="00307A24" w:rsidRDefault="00307A24" w:rsidP="00B423A6">
      <w:pPr>
        <w:pStyle w:val="bParagraphtext"/>
        <w:rPr>
          <w:rFonts w:eastAsiaTheme="minorHAnsi"/>
          <w:lang w:eastAsia="en-US"/>
        </w:rPr>
      </w:pPr>
      <w:r>
        <w:rPr>
          <w:rFonts w:eastAsiaTheme="minorHAnsi"/>
          <w:lang w:eastAsia="en-US"/>
        </w:rPr>
        <w:t xml:space="preserve">The pandemic will have an effect on the housing market </w:t>
      </w:r>
      <w:r w:rsidR="00BD1A6B">
        <w:rPr>
          <w:rFonts w:eastAsiaTheme="minorHAnsi"/>
          <w:lang w:eastAsia="en-US"/>
        </w:rPr>
        <w:t>but</w:t>
      </w:r>
      <w:r>
        <w:rPr>
          <w:rFonts w:eastAsiaTheme="minorHAnsi"/>
          <w:lang w:eastAsia="en-US"/>
        </w:rPr>
        <w:t xml:space="preserve"> it remains too early to anticipate any detail in falls in value</w:t>
      </w:r>
      <w:r w:rsidR="00BD1A6B">
        <w:rPr>
          <w:rFonts w:eastAsiaTheme="minorHAnsi"/>
          <w:lang w:eastAsia="en-US"/>
        </w:rPr>
        <w:t xml:space="preserve"> although</w:t>
      </w:r>
      <w:r>
        <w:rPr>
          <w:rFonts w:eastAsiaTheme="minorHAnsi"/>
          <w:lang w:eastAsia="en-US"/>
        </w:rPr>
        <w:t xml:space="preserve"> this is being monitored. There may also be changes to tenure demand and </w:t>
      </w:r>
      <w:r w:rsidR="00E14D46">
        <w:rPr>
          <w:rFonts w:eastAsiaTheme="minorHAnsi"/>
          <w:lang w:eastAsia="en-US"/>
        </w:rPr>
        <w:t xml:space="preserve">an increase in </w:t>
      </w:r>
      <w:r>
        <w:rPr>
          <w:rFonts w:eastAsiaTheme="minorHAnsi"/>
          <w:lang w:eastAsia="en-US"/>
        </w:rPr>
        <w:t xml:space="preserve">demand for houses </w:t>
      </w:r>
      <w:r w:rsidR="00E14D46">
        <w:rPr>
          <w:rFonts w:eastAsiaTheme="minorHAnsi"/>
          <w:lang w:eastAsia="en-US"/>
        </w:rPr>
        <w:t xml:space="preserve">rather than </w:t>
      </w:r>
      <w:r>
        <w:rPr>
          <w:rFonts w:eastAsiaTheme="minorHAnsi"/>
          <w:lang w:eastAsia="en-US"/>
        </w:rPr>
        <w:t>flats</w:t>
      </w:r>
      <w:r w:rsidR="00281AAF">
        <w:rPr>
          <w:rFonts w:eastAsiaTheme="minorHAnsi"/>
          <w:lang w:eastAsia="en-US"/>
        </w:rPr>
        <w:t xml:space="preserve"> </w:t>
      </w:r>
      <w:r>
        <w:rPr>
          <w:rFonts w:eastAsiaTheme="minorHAnsi"/>
          <w:lang w:eastAsia="en-US"/>
        </w:rPr>
        <w:t>.</w:t>
      </w:r>
      <w:r w:rsidR="00281AAF">
        <w:rPr>
          <w:rFonts w:eastAsiaTheme="minorHAnsi"/>
          <w:lang w:eastAsia="en-US"/>
        </w:rPr>
        <w:t>Local estate agents that have recently opened  have reported very high levels of interest for sale and rented properties although it remains to be seen how much of this demand will convert into transactions</w:t>
      </w:r>
      <w:r w:rsidR="00BD1A6B">
        <w:rPr>
          <w:rFonts w:eastAsiaTheme="minorHAnsi"/>
          <w:lang w:eastAsia="en-US"/>
        </w:rPr>
        <w:t>.</w:t>
      </w:r>
      <w:r w:rsidR="00281AAF">
        <w:rPr>
          <w:rFonts w:eastAsiaTheme="minorHAnsi"/>
          <w:lang w:eastAsia="en-US"/>
        </w:rPr>
        <w:t xml:space="preserve"> </w:t>
      </w:r>
      <w:r>
        <w:rPr>
          <w:rFonts w:eastAsiaTheme="minorHAnsi"/>
          <w:lang w:eastAsia="en-US"/>
        </w:rPr>
        <w:t xml:space="preserve"> Historically Oxford has proved to be resilient to falls in value due to high levels of latent demand and it is expected that there will be more clarity in the next report to the Shareholder and Joint Venture Group.</w:t>
      </w:r>
    </w:p>
    <w:p w14:paraId="5A0D512E" w14:textId="77777777" w:rsidR="00C905BB" w:rsidRDefault="00307A24" w:rsidP="00307A24">
      <w:pPr>
        <w:tabs>
          <w:tab w:val="left" w:pos="8647"/>
        </w:tabs>
        <w:ind w:right="1076"/>
        <w:rPr>
          <w:rFonts w:eastAsiaTheme="minorHAnsi"/>
          <w:lang w:eastAsia="en-US"/>
        </w:rPr>
      </w:pPr>
      <w:r>
        <w:rPr>
          <w:rFonts w:eastAsiaTheme="minorHAnsi"/>
          <w:lang w:eastAsia="en-US"/>
        </w:rPr>
        <w:t xml:space="preserve"> </w:t>
      </w:r>
    </w:p>
    <w:p w14:paraId="4BF02B2D" w14:textId="77777777" w:rsidR="00C905BB" w:rsidRDefault="00C905BB" w:rsidP="00307A24">
      <w:pPr>
        <w:tabs>
          <w:tab w:val="left" w:pos="8647"/>
        </w:tabs>
        <w:ind w:right="1076"/>
        <w:rPr>
          <w:rFonts w:eastAsiaTheme="minorHAnsi"/>
          <w:lang w:eastAsia="en-US"/>
        </w:rPr>
      </w:pPr>
    </w:p>
    <w:p w14:paraId="5F3488B7" w14:textId="77777777" w:rsidR="00B423A6" w:rsidRDefault="0057130A" w:rsidP="00B423A6">
      <w:pPr>
        <w:pStyle w:val="Heading1"/>
        <w:rPr>
          <w:rFonts w:eastAsiaTheme="minorHAnsi"/>
          <w:lang w:eastAsia="en-US"/>
        </w:rPr>
      </w:pPr>
      <w:r w:rsidRPr="00575235">
        <w:rPr>
          <w:rFonts w:eastAsiaTheme="minorHAnsi"/>
          <w:lang w:eastAsia="en-US"/>
        </w:rPr>
        <w:t xml:space="preserve">Progress Update </w:t>
      </w:r>
    </w:p>
    <w:p w14:paraId="5D60C620" w14:textId="7D6DB0CA" w:rsidR="00CF2861" w:rsidRPr="000947DC" w:rsidRDefault="00FC269F" w:rsidP="00B423A6">
      <w:pPr>
        <w:pStyle w:val="Heading1"/>
        <w:rPr>
          <w:rFonts w:eastAsiaTheme="minorHAnsi"/>
          <w:lang w:eastAsia="en-US"/>
        </w:rPr>
      </w:pPr>
      <w:r w:rsidRPr="000947DC">
        <w:rPr>
          <w:rFonts w:eastAsiaTheme="minorHAnsi"/>
          <w:lang w:eastAsia="en-US"/>
        </w:rPr>
        <w:t xml:space="preserve">First Phase </w:t>
      </w:r>
    </w:p>
    <w:p w14:paraId="649DAC57" w14:textId="77777777" w:rsidR="00D91DD2" w:rsidRPr="00D91DD2" w:rsidRDefault="00D91DD2" w:rsidP="00B423A6">
      <w:pPr>
        <w:pStyle w:val="bParagraphtext"/>
        <w:rPr>
          <w:rFonts w:eastAsiaTheme="minorHAnsi" w:cs="Arial"/>
          <w:color w:val="auto"/>
          <w:lang w:eastAsia="en-US"/>
        </w:rPr>
      </w:pPr>
      <w:r w:rsidRPr="00C905BB">
        <w:rPr>
          <w:lang w:eastAsia="en-US"/>
        </w:rPr>
        <w:t xml:space="preserve">There </w:t>
      </w:r>
      <w:r w:rsidRPr="00B423A6">
        <w:t>have now been a total of 1</w:t>
      </w:r>
      <w:r w:rsidR="00D6495D" w:rsidRPr="00B423A6">
        <w:t>62</w:t>
      </w:r>
      <w:r w:rsidRPr="00B423A6">
        <w:t xml:space="preserve"> </w:t>
      </w:r>
      <w:r w:rsidR="00D6495D" w:rsidRPr="00B423A6">
        <w:t>completions</w:t>
      </w:r>
      <w:r w:rsidRPr="00B423A6">
        <w:t xml:space="preserve"> of which 76 are social rented properties purchased by Oxford City Housing (Investment) Limited. </w:t>
      </w:r>
      <w:r w:rsidR="00D6495D" w:rsidRPr="00B423A6">
        <w:t>The remaining 75 units were planned for early spring / summer 2021 and an updated programme</w:t>
      </w:r>
      <w:r w:rsidR="00D6495D">
        <w:rPr>
          <w:lang w:eastAsia="en-US"/>
        </w:rPr>
        <w:t xml:space="preserve"> is awaited.</w:t>
      </w:r>
    </w:p>
    <w:p w14:paraId="0FE962F8" w14:textId="77777777" w:rsidR="007859F3" w:rsidRPr="00B423A6" w:rsidRDefault="00EA1336" w:rsidP="00B423A6">
      <w:pPr>
        <w:pStyle w:val="Heading1"/>
        <w:rPr>
          <w:rFonts w:eastAsiaTheme="minorHAnsi"/>
        </w:rPr>
      </w:pPr>
      <w:r w:rsidRPr="00B423A6">
        <w:rPr>
          <w:rFonts w:eastAsiaTheme="minorHAnsi"/>
        </w:rPr>
        <w:t>Second Phase</w:t>
      </w:r>
    </w:p>
    <w:p w14:paraId="4E83183E" w14:textId="7CDCC29E" w:rsidR="00BA453E" w:rsidRPr="00B423A6" w:rsidRDefault="007859F3" w:rsidP="00B423A6">
      <w:pPr>
        <w:pStyle w:val="bParagraphtext"/>
        <w:rPr>
          <w:rFonts w:eastAsiaTheme="minorHAnsi"/>
          <w:lang w:eastAsia="en-US"/>
        </w:rPr>
      </w:pPr>
      <w:r w:rsidRPr="00C905BB">
        <w:rPr>
          <w:rFonts w:eastAsiaTheme="minorHAnsi"/>
          <w:lang w:eastAsia="en-US"/>
        </w:rPr>
        <w:lastRenderedPageBreak/>
        <w:t xml:space="preserve">Works continue at </w:t>
      </w:r>
      <w:r w:rsidR="00307A24" w:rsidRPr="00C905BB">
        <w:rPr>
          <w:rFonts w:eastAsiaTheme="minorHAnsi"/>
          <w:lang w:eastAsia="en-US"/>
        </w:rPr>
        <w:t>a reduced rate</w:t>
      </w:r>
      <w:r w:rsidR="00281AAF" w:rsidRPr="00C905BB">
        <w:rPr>
          <w:rFonts w:eastAsiaTheme="minorHAnsi"/>
          <w:lang w:eastAsia="en-US"/>
        </w:rPr>
        <w:t xml:space="preserve"> of 50%</w:t>
      </w:r>
      <w:r w:rsidRPr="00C905BB">
        <w:rPr>
          <w:rFonts w:eastAsiaTheme="minorHAnsi"/>
          <w:lang w:eastAsia="en-US"/>
        </w:rPr>
        <w:t>.</w:t>
      </w:r>
      <w:r w:rsidR="00BA453E" w:rsidRPr="00C905BB">
        <w:rPr>
          <w:rFonts w:eastAsiaTheme="minorHAnsi"/>
          <w:lang w:eastAsia="en-US"/>
        </w:rPr>
        <w:t xml:space="preserve">  </w:t>
      </w:r>
      <w:r w:rsidRPr="00C905BB">
        <w:rPr>
          <w:rFonts w:eastAsiaTheme="minorHAnsi"/>
          <w:lang w:eastAsia="en-US"/>
        </w:rPr>
        <w:t>R</w:t>
      </w:r>
      <w:r w:rsidR="00645BA8" w:rsidRPr="00C905BB">
        <w:rPr>
          <w:rFonts w:eastAsiaTheme="minorHAnsi"/>
          <w:lang w:eastAsia="en-US"/>
        </w:rPr>
        <w:t>edrow</w:t>
      </w:r>
      <w:r w:rsidR="00281AAF" w:rsidRPr="00C905BB">
        <w:rPr>
          <w:rFonts w:eastAsiaTheme="minorHAnsi"/>
          <w:lang w:eastAsia="en-US"/>
        </w:rPr>
        <w:t xml:space="preserve"> expect the show home to be open in November 2020 and are currently updating the project plan for phase 1</w:t>
      </w:r>
      <w:r w:rsidR="00D91DD2" w:rsidRPr="00C905BB">
        <w:rPr>
          <w:rFonts w:eastAsiaTheme="minorHAnsi"/>
          <w:lang w:eastAsia="en-US"/>
        </w:rPr>
        <w:t xml:space="preserve">, but </w:t>
      </w:r>
      <w:r w:rsidR="00E14D46">
        <w:rPr>
          <w:rFonts w:eastAsiaTheme="minorHAnsi"/>
          <w:lang w:eastAsia="en-US"/>
        </w:rPr>
        <w:t xml:space="preserve">we </w:t>
      </w:r>
      <w:r w:rsidR="00D91DD2" w:rsidRPr="00C905BB">
        <w:rPr>
          <w:rFonts w:eastAsiaTheme="minorHAnsi"/>
          <w:lang w:eastAsia="en-US"/>
        </w:rPr>
        <w:t xml:space="preserve">expect completion of this phase of 55 units </w:t>
      </w:r>
      <w:r w:rsidR="00C905BB">
        <w:rPr>
          <w:rFonts w:eastAsiaTheme="minorHAnsi"/>
          <w:lang w:eastAsia="en-US"/>
        </w:rPr>
        <w:t>close to the school in mid 2021</w:t>
      </w:r>
      <w:r w:rsidR="0059368E" w:rsidRPr="00C905BB">
        <w:rPr>
          <w:rFonts w:eastAsiaTheme="minorHAnsi"/>
          <w:lang w:eastAsia="en-US"/>
        </w:rPr>
        <w:t>.</w:t>
      </w:r>
    </w:p>
    <w:p w14:paraId="1645E25C" w14:textId="77777777" w:rsidR="00BA453E" w:rsidRPr="00575235" w:rsidRDefault="00BA453E" w:rsidP="00B423A6">
      <w:pPr>
        <w:pStyle w:val="Heading1"/>
        <w:rPr>
          <w:rFonts w:eastAsiaTheme="minorHAnsi"/>
          <w:lang w:eastAsia="en-US"/>
        </w:rPr>
      </w:pPr>
      <w:r w:rsidRPr="00575235">
        <w:rPr>
          <w:rFonts w:eastAsiaTheme="minorHAnsi"/>
          <w:lang w:eastAsia="en-US"/>
        </w:rPr>
        <w:t xml:space="preserve">Future Phases </w:t>
      </w:r>
    </w:p>
    <w:p w14:paraId="16C35226" w14:textId="390AD046" w:rsidR="00203C5C" w:rsidRPr="00B423A6" w:rsidRDefault="00E34794" w:rsidP="00B423A6">
      <w:pPr>
        <w:pStyle w:val="bParagraphtext"/>
        <w:rPr>
          <w:rFonts w:eastAsiaTheme="minorHAnsi"/>
          <w:lang w:eastAsia="en-US"/>
        </w:rPr>
      </w:pPr>
      <w:r w:rsidRPr="00C905BB">
        <w:rPr>
          <w:rFonts w:eastAsiaTheme="minorHAnsi"/>
          <w:lang w:eastAsia="en-US"/>
        </w:rPr>
        <w:t>Delivery of f</w:t>
      </w:r>
      <w:r w:rsidR="00BA453E" w:rsidRPr="00C905BB">
        <w:rPr>
          <w:rFonts w:eastAsiaTheme="minorHAnsi"/>
          <w:lang w:eastAsia="en-US"/>
        </w:rPr>
        <w:t>urther</w:t>
      </w:r>
      <w:r w:rsidRPr="00C905BB">
        <w:rPr>
          <w:rFonts w:eastAsiaTheme="minorHAnsi"/>
          <w:lang w:eastAsia="en-US"/>
        </w:rPr>
        <w:t xml:space="preserve"> phases involves sale</w:t>
      </w:r>
      <w:r w:rsidR="00A423BF" w:rsidRPr="00C905BB">
        <w:rPr>
          <w:rFonts w:eastAsiaTheme="minorHAnsi"/>
          <w:lang w:eastAsia="en-US"/>
        </w:rPr>
        <w:t>s and marketing of land parcels</w:t>
      </w:r>
      <w:r w:rsidRPr="00C905BB">
        <w:rPr>
          <w:rFonts w:eastAsiaTheme="minorHAnsi"/>
          <w:lang w:eastAsia="en-US"/>
        </w:rPr>
        <w:t>, the information is commercially sensitive and further details</w:t>
      </w:r>
      <w:r w:rsidR="00BA453E" w:rsidRPr="00C905BB">
        <w:rPr>
          <w:rFonts w:eastAsiaTheme="minorHAnsi"/>
          <w:lang w:eastAsia="en-US"/>
        </w:rPr>
        <w:t xml:space="preserve"> are contained in t</w:t>
      </w:r>
      <w:r w:rsidR="007367F6" w:rsidRPr="00C905BB">
        <w:rPr>
          <w:rFonts w:eastAsiaTheme="minorHAnsi"/>
          <w:lang w:eastAsia="en-US"/>
        </w:rPr>
        <w:t>he not for publication appendix</w:t>
      </w:r>
      <w:r w:rsidR="00BA453E" w:rsidRPr="00C905BB">
        <w:rPr>
          <w:rFonts w:eastAsiaTheme="minorHAnsi"/>
          <w:lang w:eastAsia="en-US"/>
        </w:rPr>
        <w:t>.</w:t>
      </w:r>
    </w:p>
    <w:p w14:paraId="5E3341A3" w14:textId="2C96268D" w:rsidR="00203C5C" w:rsidRPr="00203C5C" w:rsidRDefault="00B423A6" w:rsidP="00B423A6">
      <w:pPr>
        <w:pStyle w:val="Heading1"/>
        <w:rPr>
          <w:rFonts w:eastAsiaTheme="minorHAnsi"/>
          <w:lang w:eastAsia="en-US"/>
        </w:rPr>
      </w:pPr>
      <w:r>
        <w:rPr>
          <w:rFonts w:eastAsiaTheme="minorHAnsi"/>
          <w:lang w:eastAsia="en-US"/>
        </w:rPr>
        <w:t>The Pa</w:t>
      </w:r>
      <w:r w:rsidR="00203C5C" w:rsidRPr="00203C5C">
        <w:rPr>
          <w:rFonts w:eastAsiaTheme="minorHAnsi"/>
          <w:lang w:eastAsia="en-US"/>
        </w:rPr>
        <w:t>vilion</w:t>
      </w:r>
    </w:p>
    <w:p w14:paraId="4E082B9E" w14:textId="41762AC1" w:rsidR="00FB7646" w:rsidRPr="00B423A6" w:rsidRDefault="00E30BB3" w:rsidP="00B423A6">
      <w:pPr>
        <w:pStyle w:val="bParagraphtext"/>
        <w:rPr>
          <w:rFonts w:eastAsiaTheme="minorHAnsi"/>
          <w:lang w:eastAsia="en-US"/>
        </w:rPr>
      </w:pPr>
      <w:r w:rsidRPr="00477BE1">
        <w:rPr>
          <w:rFonts w:eastAsiaTheme="minorHAnsi"/>
          <w:lang w:eastAsia="en-US"/>
        </w:rPr>
        <w:t xml:space="preserve">It has been </w:t>
      </w:r>
      <w:r w:rsidRPr="00B423A6">
        <w:rPr>
          <w:rFonts w:eastAsiaTheme="minorHAnsi"/>
        </w:rPr>
        <w:t xml:space="preserve">agreed that the </w:t>
      </w:r>
      <w:r w:rsidR="00567DDE" w:rsidRPr="00B423A6">
        <w:rPr>
          <w:rFonts w:eastAsiaTheme="minorHAnsi"/>
        </w:rPr>
        <w:t xml:space="preserve">freehold </w:t>
      </w:r>
      <w:r w:rsidR="004C0C86" w:rsidRPr="00B423A6">
        <w:rPr>
          <w:rFonts w:eastAsiaTheme="minorHAnsi"/>
        </w:rPr>
        <w:t>P</w:t>
      </w:r>
      <w:r w:rsidRPr="00B423A6">
        <w:rPr>
          <w:rFonts w:eastAsiaTheme="minorHAnsi"/>
        </w:rPr>
        <w:t>avilion</w:t>
      </w:r>
      <w:r w:rsidR="004C0C86" w:rsidRPr="00B423A6">
        <w:rPr>
          <w:rFonts w:eastAsiaTheme="minorHAnsi"/>
        </w:rPr>
        <w:t xml:space="preserve"> and Sports pitches</w:t>
      </w:r>
      <w:r w:rsidRPr="00B423A6">
        <w:rPr>
          <w:rFonts w:eastAsiaTheme="minorHAnsi"/>
        </w:rPr>
        <w:t xml:space="preserve"> will be transferred </w:t>
      </w:r>
      <w:r w:rsidR="00567DDE" w:rsidRPr="00B423A6">
        <w:rPr>
          <w:rFonts w:eastAsiaTheme="minorHAnsi"/>
        </w:rPr>
        <w:t>from</w:t>
      </w:r>
      <w:r w:rsidR="00567DDE" w:rsidRPr="00477BE1">
        <w:rPr>
          <w:rFonts w:eastAsiaTheme="minorHAnsi"/>
          <w:lang w:eastAsia="en-US"/>
        </w:rPr>
        <w:t xml:space="preserve"> the LLP </w:t>
      </w:r>
      <w:r w:rsidRPr="00477BE1">
        <w:rPr>
          <w:rFonts w:eastAsiaTheme="minorHAnsi"/>
          <w:lang w:eastAsia="en-US"/>
        </w:rPr>
        <w:t xml:space="preserve">to the council at the earliest opportunity. </w:t>
      </w:r>
      <w:r w:rsidR="00567DDE" w:rsidRPr="00477BE1">
        <w:rPr>
          <w:rFonts w:eastAsiaTheme="minorHAnsi"/>
          <w:lang w:eastAsia="en-US"/>
        </w:rPr>
        <w:t>This is in accordance with the S106</w:t>
      </w:r>
      <w:r w:rsidR="00BD1A6B">
        <w:rPr>
          <w:rFonts w:eastAsiaTheme="minorHAnsi"/>
          <w:lang w:eastAsia="en-US"/>
        </w:rPr>
        <w:t xml:space="preserve"> agreement</w:t>
      </w:r>
      <w:r w:rsidR="00567DDE" w:rsidRPr="00477BE1">
        <w:rPr>
          <w:rFonts w:eastAsiaTheme="minorHAnsi"/>
          <w:lang w:eastAsia="en-US"/>
        </w:rPr>
        <w:t xml:space="preserve">. This will enable the council to enter into a subsequent lease with the users of the pavilion and provide clarity on responsibilities and standards of maintenance for the facilities. </w:t>
      </w:r>
      <w:r w:rsidRPr="00477BE1">
        <w:rPr>
          <w:rFonts w:eastAsiaTheme="minorHAnsi"/>
          <w:lang w:eastAsia="en-US"/>
        </w:rPr>
        <w:t>In the meantime the LLP has entered into a service agreement with the council to carry out the</w:t>
      </w:r>
      <w:r w:rsidR="00567DDE" w:rsidRPr="00477BE1">
        <w:rPr>
          <w:rFonts w:eastAsiaTheme="minorHAnsi"/>
          <w:lang w:eastAsia="en-US"/>
        </w:rPr>
        <w:t xml:space="preserve"> maintenance and </w:t>
      </w:r>
      <w:r w:rsidRPr="00477BE1">
        <w:rPr>
          <w:rFonts w:eastAsiaTheme="minorHAnsi"/>
          <w:lang w:eastAsia="en-US"/>
        </w:rPr>
        <w:t>compliance function</w:t>
      </w:r>
      <w:r w:rsidR="00567DDE" w:rsidRPr="00477BE1">
        <w:rPr>
          <w:rFonts w:eastAsiaTheme="minorHAnsi"/>
          <w:lang w:eastAsia="en-US"/>
        </w:rPr>
        <w:t>s</w:t>
      </w:r>
      <w:r w:rsidRPr="00477BE1">
        <w:rPr>
          <w:rFonts w:eastAsiaTheme="minorHAnsi"/>
          <w:lang w:eastAsia="en-US"/>
        </w:rPr>
        <w:t xml:space="preserve"> for the building.</w:t>
      </w:r>
      <w:r w:rsidR="00281AAF">
        <w:rPr>
          <w:rFonts w:eastAsiaTheme="minorHAnsi"/>
          <w:lang w:eastAsia="en-US"/>
        </w:rPr>
        <w:t xml:space="preserve"> The lockdown has given the opportunity to deal with a number of issues with the building and work continues between the City Council and </w:t>
      </w:r>
      <w:r w:rsidR="00E14D46">
        <w:rPr>
          <w:rFonts w:eastAsiaTheme="minorHAnsi"/>
          <w:lang w:eastAsia="en-US"/>
        </w:rPr>
        <w:t>t</w:t>
      </w:r>
      <w:r w:rsidR="00281AAF">
        <w:rPr>
          <w:rFonts w:eastAsiaTheme="minorHAnsi"/>
          <w:lang w:eastAsia="en-US"/>
        </w:rPr>
        <w:t xml:space="preserve">he LLP to ensure that all snagging and other issues are dealt with before handover. There is currently no suggested date </w:t>
      </w:r>
      <w:r w:rsidR="00281AAF">
        <w:rPr>
          <w:rFonts w:eastAsiaTheme="minorHAnsi"/>
          <w:lang w:eastAsia="en-US"/>
        </w:rPr>
        <w:lastRenderedPageBreak/>
        <w:t>for re-occupation of the pavilion</w:t>
      </w:r>
      <w:r w:rsidR="00FB7646">
        <w:rPr>
          <w:rFonts w:eastAsiaTheme="minorHAnsi"/>
          <w:lang w:eastAsia="en-US"/>
        </w:rPr>
        <w:t>, but liaison with the club continues</w:t>
      </w:r>
      <w:r w:rsidR="00281AAF">
        <w:rPr>
          <w:rFonts w:eastAsiaTheme="minorHAnsi"/>
          <w:lang w:eastAsia="en-US"/>
        </w:rPr>
        <w:t>.</w:t>
      </w:r>
    </w:p>
    <w:p w14:paraId="4517BDA0" w14:textId="6D52FF55" w:rsidR="00FB7646" w:rsidRPr="00B423A6" w:rsidRDefault="00FB7646" w:rsidP="00B423A6">
      <w:pPr>
        <w:pStyle w:val="Heading1"/>
        <w:rPr>
          <w:rFonts w:eastAsiaTheme="minorHAnsi"/>
          <w:lang w:eastAsia="en-US"/>
        </w:rPr>
      </w:pPr>
      <w:r>
        <w:rPr>
          <w:rFonts w:eastAsiaTheme="minorHAnsi"/>
          <w:lang w:eastAsia="en-US"/>
        </w:rPr>
        <w:t xml:space="preserve">    </w:t>
      </w:r>
      <w:r w:rsidRPr="00FB7646">
        <w:rPr>
          <w:rFonts w:eastAsiaTheme="minorHAnsi"/>
          <w:lang w:eastAsia="en-US"/>
        </w:rPr>
        <w:t>The School</w:t>
      </w:r>
    </w:p>
    <w:p w14:paraId="3719AC86" w14:textId="1D7794AF" w:rsidR="00203C5C" w:rsidRPr="00B423A6" w:rsidRDefault="00FB7646" w:rsidP="00B423A6">
      <w:pPr>
        <w:pStyle w:val="bParagraphtext"/>
        <w:rPr>
          <w:rFonts w:eastAsiaTheme="minorHAnsi"/>
          <w:lang w:eastAsia="en-US"/>
        </w:rPr>
      </w:pPr>
      <w:r w:rsidRPr="00D91DD2">
        <w:rPr>
          <w:rFonts w:eastAsiaTheme="minorHAnsi"/>
          <w:lang w:eastAsia="en-US"/>
        </w:rPr>
        <w:t xml:space="preserve">The construction of </w:t>
      </w:r>
      <w:r w:rsidRPr="00B423A6">
        <w:rPr>
          <w:rFonts w:eastAsiaTheme="minorHAnsi"/>
        </w:rPr>
        <w:t>the school was halted due to Coronavirus.</w:t>
      </w:r>
      <w:r w:rsidR="00C905BB" w:rsidRPr="00B423A6">
        <w:rPr>
          <w:rFonts w:eastAsiaTheme="minorHAnsi"/>
        </w:rPr>
        <w:t xml:space="preserve"> </w:t>
      </w:r>
      <w:r w:rsidRPr="00B423A6">
        <w:rPr>
          <w:rFonts w:eastAsiaTheme="minorHAnsi"/>
        </w:rPr>
        <w:t xml:space="preserve"> Work has now restarted </w:t>
      </w:r>
      <w:r w:rsidR="00D91DD2" w:rsidRPr="00B423A6">
        <w:rPr>
          <w:rFonts w:eastAsiaTheme="minorHAnsi"/>
        </w:rPr>
        <w:t>and County have confirmed that they believe they have enough time contingency to b</w:t>
      </w:r>
      <w:r w:rsidR="00D91DD2" w:rsidRPr="00D91DD2">
        <w:rPr>
          <w:rFonts w:eastAsiaTheme="minorHAnsi"/>
          <w:lang w:eastAsia="en-US"/>
        </w:rPr>
        <w:t>e ready for opening in September 2020.</w:t>
      </w:r>
    </w:p>
    <w:p w14:paraId="6EFC7335" w14:textId="77777777" w:rsidR="00203C5C" w:rsidRPr="00203C5C" w:rsidRDefault="00203C5C" w:rsidP="00B423A6">
      <w:pPr>
        <w:pStyle w:val="Heading1"/>
        <w:rPr>
          <w:rFonts w:eastAsiaTheme="minorHAnsi"/>
          <w:lang w:eastAsia="en-US"/>
        </w:rPr>
      </w:pPr>
      <w:r w:rsidRPr="00203C5C">
        <w:rPr>
          <w:rFonts w:eastAsiaTheme="minorHAnsi"/>
          <w:lang w:eastAsia="en-US"/>
        </w:rPr>
        <w:t xml:space="preserve">The bus link and bus service </w:t>
      </w:r>
    </w:p>
    <w:p w14:paraId="65DCB2FC" w14:textId="77777777" w:rsidR="009552C0" w:rsidRPr="00281AAF" w:rsidRDefault="00281AAF" w:rsidP="00B423A6">
      <w:pPr>
        <w:pStyle w:val="bParagraphtext"/>
        <w:rPr>
          <w:rFonts w:eastAsiaTheme="minorHAnsi" w:cs="Arial"/>
          <w:color w:val="auto"/>
          <w:lang w:eastAsia="en-US"/>
        </w:rPr>
      </w:pPr>
      <w:r>
        <w:t>The bus service has started</w:t>
      </w:r>
      <w:r w:rsidR="009552C0" w:rsidRPr="00477BE1">
        <w:t xml:space="preserve"> operating between the site and the John Radcliffe (to allow onward connection) at a frequency of 2 buses per hour on Mondays to Saturdays between 7am and 7pm.  The service </w:t>
      </w:r>
      <w:r>
        <w:t>is</w:t>
      </w:r>
      <w:r w:rsidR="009552C0" w:rsidRPr="00477BE1">
        <w:t xml:space="preserve"> free to users.  This is an interim service with the longer term solution</w:t>
      </w:r>
      <w:r w:rsidR="00A10491">
        <w:t xml:space="preserve"> </w:t>
      </w:r>
      <w:r w:rsidR="009552C0" w:rsidRPr="00477BE1">
        <w:t>for the site envisaged to start from September this year.  County have the option of extending the interim service by 3 months if the road connection has not been completed by September.</w:t>
      </w:r>
    </w:p>
    <w:p w14:paraId="5ECB5BC4" w14:textId="77777777" w:rsidR="00281AAF" w:rsidRPr="00477BE1" w:rsidRDefault="00281AAF" w:rsidP="00B423A6">
      <w:pPr>
        <w:pStyle w:val="bParagraphtext"/>
        <w:rPr>
          <w:rFonts w:eastAsiaTheme="minorHAnsi" w:cs="Arial"/>
          <w:color w:val="auto"/>
          <w:lang w:eastAsia="en-US"/>
        </w:rPr>
      </w:pPr>
      <w:r>
        <w:t xml:space="preserve">The bus link from </w:t>
      </w:r>
      <w:r w:rsidR="005E4D5E">
        <w:t xml:space="preserve">the A40 into Northway has been opened </w:t>
      </w:r>
    </w:p>
    <w:p w14:paraId="3A8C4F76" w14:textId="02257243" w:rsidR="00203C5C" w:rsidRPr="00A10491" w:rsidRDefault="00203C5C" w:rsidP="00B423A6">
      <w:pPr>
        <w:pStyle w:val="bParagraphtext"/>
      </w:pPr>
      <w:r w:rsidRPr="00A10491">
        <w:t xml:space="preserve">The ANPR cameras </w:t>
      </w:r>
      <w:r w:rsidR="00281AAF">
        <w:t xml:space="preserve">are </w:t>
      </w:r>
      <w:r w:rsidRPr="00A10491">
        <w:t xml:space="preserve">installed </w:t>
      </w:r>
      <w:r w:rsidR="00281AAF">
        <w:t xml:space="preserve">and are expected to be </w:t>
      </w:r>
      <w:r w:rsidRPr="00A10491">
        <w:t>fully operational by</w:t>
      </w:r>
      <w:r w:rsidR="00281AAF">
        <w:t xml:space="preserve"> </w:t>
      </w:r>
      <w:r w:rsidR="00B423A6">
        <w:t xml:space="preserve">15 </w:t>
      </w:r>
      <w:r w:rsidR="00281AAF">
        <w:t>June</w:t>
      </w:r>
      <w:r w:rsidRPr="00A10491">
        <w:t>.</w:t>
      </w:r>
      <w:r w:rsidR="00FB7646">
        <w:t xml:space="preserve"> We have not heard of any private vehicles using the link road, but it is disappointing that it was opened before the cameras were operational.</w:t>
      </w:r>
    </w:p>
    <w:p w14:paraId="7B992FAF" w14:textId="51A9D8CA" w:rsidR="00203C5C" w:rsidRPr="00B423A6" w:rsidRDefault="00FB7646" w:rsidP="00B423A6">
      <w:pPr>
        <w:pStyle w:val="bParagraphtext"/>
      </w:pPr>
      <w:r w:rsidRPr="00C905BB">
        <w:lastRenderedPageBreak/>
        <w:t xml:space="preserve">The final </w:t>
      </w:r>
      <w:r w:rsidR="00203C5C" w:rsidRPr="00C905BB">
        <w:t>Stage 3 Road Safety Audit</w:t>
      </w:r>
      <w:r w:rsidRPr="00C905BB">
        <w:t xml:space="preserve"> remains outstanding, as there is insufficient traffic. The County Council confirmed that it was happy for the bus lane to open without the RSA3, which will be carried out once </w:t>
      </w:r>
      <w:r w:rsidR="00E14D46">
        <w:t xml:space="preserve">the </w:t>
      </w:r>
      <w:r w:rsidRPr="00C905BB">
        <w:t xml:space="preserve">County are happy that traffic levels are ‘normal’.  </w:t>
      </w:r>
    </w:p>
    <w:p w14:paraId="3EC73FE4" w14:textId="77777777" w:rsidR="00203C5C" w:rsidRPr="00A10491" w:rsidRDefault="00C905BB" w:rsidP="00B423A6">
      <w:pPr>
        <w:pStyle w:val="Heading1"/>
        <w:rPr>
          <w:rFonts w:eastAsiaTheme="minorHAnsi"/>
          <w:lang w:eastAsia="en-US"/>
        </w:rPr>
      </w:pPr>
      <w:r>
        <w:rPr>
          <w:rFonts w:eastAsiaTheme="minorHAnsi"/>
          <w:lang w:eastAsia="en-US"/>
        </w:rPr>
        <w:t>F</w:t>
      </w:r>
      <w:r w:rsidR="00203C5C" w:rsidRPr="00A10491">
        <w:rPr>
          <w:rFonts w:eastAsiaTheme="minorHAnsi"/>
          <w:lang w:eastAsia="en-US"/>
        </w:rPr>
        <w:t xml:space="preserve">inancial Implications </w:t>
      </w:r>
    </w:p>
    <w:p w14:paraId="582B7ACC" w14:textId="68A2A540" w:rsidR="0041652A" w:rsidRPr="00B423A6" w:rsidRDefault="00477BE1" w:rsidP="00B423A6">
      <w:pPr>
        <w:pStyle w:val="bParagraphtext"/>
        <w:rPr>
          <w:rFonts w:eastAsiaTheme="minorHAnsi"/>
          <w:lang w:eastAsia="en-US"/>
        </w:rPr>
      </w:pPr>
      <w:r w:rsidRPr="00A10491">
        <w:rPr>
          <w:rFonts w:eastAsiaTheme="minorHAnsi"/>
          <w:lang w:eastAsia="en-US"/>
        </w:rPr>
        <w:t>There are no financial implications arising directly from this report.</w:t>
      </w:r>
    </w:p>
    <w:p w14:paraId="1712BAA8" w14:textId="77777777" w:rsidR="0041652A" w:rsidRPr="00A10491" w:rsidRDefault="00477BE1" w:rsidP="00B423A6">
      <w:pPr>
        <w:pStyle w:val="Heading1"/>
        <w:rPr>
          <w:rFonts w:eastAsiaTheme="minorHAnsi"/>
          <w:lang w:eastAsia="en-US"/>
        </w:rPr>
      </w:pPr>
      <w:r w:rsidRPr="00A10491">
        <w:rPr>
          <w:rFonts w:eastAsiaTheme="minorHAnsi"/>
          <w:lang w:eastAsia="en-US"/>
        </w:rPr>
        <w:t>Legal</w:t>
      </w:r>
      <w:r w:rsidR="0041652A" w:rsidRPr="00A10491">
        <w:rPr>
          <w:rFonts w:eastAsiaTheme="minorHAnsi"/>
          <w:lang w:eastAsia="en-US"/>
        </w:rPr>
        <w:t xml:space="preserve"> Implications </w:t>
      </w:r>
    </w:p>
    <w:p w14:paraId="448F6AA4" w14:textId="77777777" w:rsidR="0041652A" w:rsidRDefault="0041652A" w:rsidP="00B423A6">
      <w:pPr>
        <w:pStyle w:val="bParagraphtext"/>
        <w:rPr>
          <w:rFonts w:eastAsiaTheme="minorHAnsi"/>
          <w:lang w:eastAsia="en-US"/>
        </w:rPr>
      </w:pPr>
      <w:r w:rsidRPr="00A10491">
        <w:rPr>
          <w:rFonts w:eastAsiaTheme="minorHAnsi"/>
          <w:lang w:eastAsia="en-US"/>
        </w:rPr>
        <w:t xml:space="preserve">There are no </w:t>
      </w:r>
      <w:r w:rsidR="00477BE1" w:rsidRPr="00A10491">
        <w:rPr>
          <w:rFonts w:eastAsiaTheme="minorHAnsi"/>
          <w:lang w:eastAsia="en-US"/>
        </w:rPr>
        <w:t>legal implications arising directly from this report.</w:t>
      </w:r>
    </w:p>
    <w:p w14:paraId="4CFAE47A" w14:textId="77777777" w:rsidR="00F524C3" w:rsidRPr="00F524C3" w:rsidRDefault="00F524C3" w:rsidP="00F524C3">
      <w:pPr>
        <w:spacing w:after="0"/>
        <w:ind w:left="360"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59CAC316" w14:textId="77777777"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501C006D" w14:textId="77777777" w:rsidR="00E87F7A" w:rsidRPr="00575235" w:rsidRDefault="00E87F7A" w:rsidP="00F524C3">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5D4922D9" w14:textId="77777777" w:rsidR="00E87F7A" w:rsidRPr="00575235" w:rsidRDefault="00922669" w:rsidP="00F524C3">
            <w:pPr>
              <w:tabs>
                <w:tab w:val="left" w:pos="8647"/>
              </w:tabs>
              <w:spacing w:after="0"/>
              <w:ind w:right="1076"/>
              <w:rPr>
                <w:rFonts w:cs="Arial"/>
              </w:rPr>
            </w:pPr>
            <w:r w:rsidRPr="00575235">
              <w:rPr>
                <w:rFonts w:cs="Arial"/>
              </w:rPr>
              <w:t>Jane Winfield</w:t>
            </w:r>
          </w:p>
        </w:tc>
      </w:tr>
      <w:tr w:rsidR="0041652A" w:rsidRPr="00575235" w14:paraId="23F7376A" w14:textId="77777777" w:rsidTr="00F524C3">
        <w:trPr>
          <w:cantSplit/>
          <w:trHeight w:val="716"/>
        </w:trPr>
        <w:tc>
          <w:tcPr>
            <w:tcW w:w="3878" w:type="dxa"/>
            <w:tcBorders>
              <w:top w:val="single" w:sz="8" w:space="0" w:color="000000"/>
              <w:left w:val="single" w:sz="8" w:space="0" w:color="000000"/>
              <w:bottom w:val="single" w:sz="4" w:space="0" w:color="auto"/>
              <w:right w:val="nil"/>
            </w:tcBorders>
            <w:shd w:val="clear" w:color="auto" w:fill="auto"/>
          </w:tcPr>
          <w:p w14:paraId="52AAFE2E" w14:textId="77777777" w:rsidR="0041652A" w:rsidRDefault="0041652A" w:rsidP="00F524C3">
            <w:pPr>
              <w:spacing w:after="0"/>
              <w:rPr>
                <w:rFonts w:cs="Arial"/>
              </w:rPr>
            </w:pPr>
            <w:r>
              <w:rPr>
                <w:rFonts w:cs="Arial"/>
              </w:rPr>
              <w:t>Job title</w:t>
            </w:r>
          </w:p>
          <w:p w14:paraId="04E606BA" w14:textId="77777777" w:rsidR="0041652A" w:rsidRPr="00575235" w:rsidRDefault="0041652A" w:rsidP="00F524C3">
            <w:pPr>
              <w:tabs>
                <w:tab w:val="left" w:pos="8647"/>
              </w:tabs>
              <w:spacing w:after="0"/>
              <w:ind w:right="1076"/>
              <w:rPr>
                <w:rFonts w:cs="Arial"/>
                <w:b/>
              </w:rPr>
            </w:pPr>
          </w:p>
        </w:tc>
        <w:tc>
          <w:tcPr>
            <w:tcW w:w="4896" w:type="dxa"/>
            <w:tcBorders>
              <w:top w:val="single" w:sz="8" w:space="0" w:color="000000"/>
              <w:left w:val="nil"/>
              <w:bottom w:val="single" w:sz="4" w:space="0" w:color="auto"/>
              <w:right w:val="single" w:sz="8" w:space="0" w:color="000000"/>
            </w:tcBorders>
            <w:shd w:val="clear" w:color="auto" w:fill="auto"/>
          </w:tcPr>
          <w:p w14:paraId="079CC326" w14:textId="77777777" w:rsidR="0041652A" w:rsidRPr="00575235" w:rsidRDefault="0041652A" w:rsidP="00F524C3">
            <w:pPr>
              <w:spacing w:after="0"/>
              <w:rPr>
                <w:rFonts w:cs="Arial"/>
              </w:rPr>
            </w:pPr>
            <w:r>
              <w:rPr>
                <w:rFonts w:cs="Arial"/>
              </w:rPr>
              <w:t>Regeneration and Major Projects Service Manager</w:t>
            </w:r>
          </w:p>
        </w:tc>
      </w:tr>
      <w:tr w:rsidR="00F524C3" w:rsidRPr="00575235" w14:paraId="187F869E" w14:textId="77777777"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14:paraId="5E15903C" w14:textId="77777777" w:rsidR="00F524C3" w:rsidRDefault="00F524C3" w:rsidP="00F524C3">
            <w:pPr>
              <w:spacing w:after="0"/>
              <w:rPr>
                <w:rFonts w:cs="Arial"/>
              </w:rPr>
            </w:pPr>
            <w:r>
              <w:rPr>
                <w:rFonts w:cs="Arial"/>
              </w:rPr>
              <w:t>Service area or department</w:t>
            </w:r>
          </w:p>
          <w:p w14:paraId="7C4B2682" w14:textId="77777777"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14:paraId="6A114BD3" w14:textId="77777777" w:rsidR="00F524C3" w:rsidRDefault="00F524C3" w:rsidP="00F524C3">
            <w:pPr>
              <w:spacing w:after="0"/>
              <w:rPr>
                <w:rFonts w:cs="Arial"/>
              </w:rPr>
            </w:pPr>
            <w:r>
              <w:rPr>
                <w:rFonts w:cs="Arial"/>
              </w:rPr>
              <w:t>Regeneration and Major Projects</w:t>
            </w:r>
          </w:p>
          <w:p w14:paraId="3496CE92" w14:textId="77777777" w:rsidR="00F524C3" w:rsidRDefault="00F524C3" w:rsidP="00F524C3">
            <w:pPr>
              <w:tabs>
                <w:tab w:val="left" w:pos="8647"/>
              </w:tabs>
              <w:spacing w:after="0"/>
              <w:ind w:right="1076"/>
              <w:rPr>
                <w:rFonts w:cs="Arial"/>
              </w:rPr>
            </w:pPr>
          </w:p>
        </w:tc>
      </w:tr>
      <w:tr w:rsidR="00F524C3" w:rsidRPr="00575235" w14:paraId="2B76EC38" w14:textId="77777777"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14:paraId="6F5C0B20" w14:textId="77777777"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14:paraId="3923BF84" w14:textId="77777777" w:rsidR="00F524C3" w:rsidRDefault="00F524C3" w:rsidP="00F524C3">
            <w:pPr>
              <w:tabs>
                <w:tab w:val="left" w:pos="8647"/>
              </w:tabs>
              <w:spacing w:after="0"/>
              <w:ind w:right="1076"/>
              <w:rPr>
                <w:rFonts w:cs="Arial"/>
              </w:rPr>
            </w:pPr>
            <w:r w:rsidRPr="00575235">
              <w:rPr>
                <w:rFonts w:cs="Arial"/>
              </w:rPr>
              <w:t>01865 252551</w:t>
            </w:r>
          </w:p>
        </w:tc>
      </w:tr>
      <w:tr w:rsidR="0041652A" w:rsidRPr="00575235" w14:paraId="68C9290E" w14:textId="77777777"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14:paraId="0C50DBD7" w14:textId="77777777"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14:paraId="150E8320" w14:textId="77777777" w:rsidR="0041652A" w:rsidRPr="00575235" w:rsidRDefault="00B423A6" w:rsidP="00F524C3">
            <w:pPr>
              <w:tabs>
                <w:tab w:val="left" w:pos="8647"/>
              </w:tabs>
              <w:spacing w:after="0"/>
              <w:ind w:right="1076"/>
              <w:rPr>
                <w:rFonts w:cs="Arial"/>
              </w:rPr>
            </w:pPr>
            <w:hyperlink r:id="rId8" w:history="1">
              <w:r w:rsidR="0041652A" w:rsidRPr="005873B3">
                <w:rPr>
                  <w:rStyle w:val="Hyperlink"/>
                  <w:rFonts w:cs="Arial"/>
                </w:rPr>
                <w:t>jwinfield@oxford.gov.uk</w:t>
              </w:r>
            </w:hyperlink>
            <w:r w:rsidR="0041652A">
              <w:rPr>
                <w:rStyle w:val="Hyperlink"/>
                <w:rFonts w:cs="Arial"/>
                <w:color w:val="000000"/>
              </w:rPr>
              <w:t xml:space="preserve">  </w:t>
            </w:r>
          </w:p>
        </w:tc>
      </w:tr>
    </w:tbl>
    <w:p w14:paraId="0838F467" w14:textId="77777777" w:rsidR="00D81CEF" w:rsidRDefault="00D81CEF" w:rsidP="00F524C3">
      <w:pPr>
        <w:tabs>
          <w:tab w:val="left" w:pos="8647"/>
        </w:tabs>
        <w:spacing w:after="0"/>
        <w:ind w:right="1076"/>
        <w:rPr>
          <w:rFonts w:cs="Arial"/>
        </w:rPr>
      </w:pPr>
    </w:p>
    <w:p w14:paraId="0C04BFA1" w14:textId="77777777" w:rsidR="00D81CEF" w:rsidRDefault="00D81CEF">
      <w:pPr>
        <w:spacing w:after="0"/>
        <w:rPr>
          <w:rFonts w:cs="Arial"/>
        </w:rPr>
      </w:pPr>
    </w:p>
    <w:sectPr w:rsidR="00D81CEF" w:rsidSect="00B423A6">
      <w:headerReference w:type="default" r:id="rId9"/>
      <w:footerReference w:type="even" r:id="rId10"/>
      <w:footerReference w:type="default" r:id="rId11"/>
      <w:headerReference w:type="first" r:id="rId12"/>
      <w:footerReference w:type="first" r:id="rId13"/>
      <w:pgSz w:w="11906" w:h="16838" w:code="9"/>
      <w:pgMar w:top="1304" w:right="1304"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F088" w14:textId="77777777" w:rsidR="00EB5B71" w:rsidRDefault="00EB5B71" w:rsidP="004A6D2F">
      <w:r>
        <w:separator/>
      </w:r>
    </w:p>
  </w:endnote>
  <w:endnote w:type="continuationSeparator" w:id="0">
    <w:p w14:paraId="00530576" w14:textId="77777777" w:rsidR="00EB5B71" w:rsidRDefault="00EB5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C6A0" w14:textId="77777777" w:rsidR="00707C98" w:rsidRDefault="00707C98" w:rsidP="004A6D2F">
    <w:pPr>
      <w:pStyle w:val="Footer"/>
    </w:pPr>
    <w:r>
      <w:t>Do not use a footer or page numbers.</w:t>
    </w:r>
  </w:p>
  <w:p w14:paraId="5478E195" w14:textId="77777777" w:rsidR="00707C98" w:rsidRDefault="00707C98" w:rsidP="004A6D2F">
    <w:pPr>
      <w:pStyle w:val="Footer"/>
    </w:pPr>
  </w:p>
  <w:p w14:paraId="3C72FBE7"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9CE2" w14:textId="77777777" w:rsidR="00702F10" w:rsidRDefault="00702F10">
    <w:pPr>
      <w:pStyle w:val="Footer"/>
      <w:jc w:val="right"/>
    </w:pPr>
  </w:p>
  <w:p w14:paraId="7FC46044"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F8E8"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E915" w14:textId="77777777" w:rsidR="00EB5B71" w:rsidRDefault="00EB5B71" w:rsidP="004A6D2F">
      <w:r>
        <w:separator/>
      </w:r>
    </w:p>
  </w:footnote>
  <w:footnote w:type="continuationSeparator" w:id="0">
    <w:p w14:paraId="7E44A3A6" w14:textId="77777777" w:rsidR="00EB5B71" w:rsidRDefault="00EB5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DD98" w14:textId="77777777"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AD87" w14:textId="78DA73BB" w:rsidR="00707C98" w:rsidRDefault="00707C98" w:rsidP="00D5547E">
    <w:pPr>
      <w:pStyle w:val="Header"/>
      <w:jc w:val="right"/>
    </w:pPr>
    <w:r>
      <w:rPr>
        <w:noProof/>
      </w:rPr>
      <w:drawing>
        <wp:inline distT="0" distB="0" distL="0" distR="0" wp14:anchorId="0372C30F" wp14:editId="64B1C80D">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4D21FD3E"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474D"/>
    <w:multiLevelType w:val="hybridMultilevel"/>
    <w:tmpl w:val="6D061BB8"/>
    <w:lvl w:ilvl="0" w:tplc="2188A62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03460"/>
    <w:multiLevelType w:val="hybridMultilevel"/>
    <w:tmpl w:val="5498AF04"/>
    <w:lvl w:ilvl="0" w:tplc="E3BC62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F3F38"/>
    <w:multiLevelType w:val="hybridMultilevel"/>
    <w:tmpl w:val="1F8CA2CE"/>
    <w:lvl w:ilvl="0" w:tplc="2188A624">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3"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F25ED2"/>
    <w:multiLevelType w:val="hybridMultilevel"/>
    <w:tmpl w:val="BB0C56B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9F2B3C"/>
    <w:multiLevelType w:val="multilevel"/>
    <w:tmpl w:val="5A165E82"/>
    <w:lvl w:ilvl="0">
      <w:start w:val="1"/>
      <w:numFmt w:val="decimal"/>
      <w:pStyle w:val="Numberedlist"/>
      <w:lvlText w:val="%1."/>
      <w:lvlJc w:val="left"/>
      <w:pPr>
        <w:ind w:left="-129" w:hanging="360"/>
      </w:pPr>
      <w:rPr>
        <w:rFonts w:ascii="Arial" w:hAnsi="Arial"/>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36"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1353DE"/>
    <w:multiLevelType w:val="hybridMultilevel"/>
    <w:tmpl w:val="5A88A6AE"/>
    <w:lvl w:ilvl="0" w:tplc="2188A62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0"/>
  </w:num>
  <w:num w:numId="3">
    <w:abstractNumId w:val="14"/>
  </w:num>
  <w:num w:numId="4">
    <w:abstractNumId w:val="3"/>
  </w:num>
  <w:num w:numId="5">
    <w:abstractNumId w:val="35"/>
  </w:num>
  <w:num w:numId="6">
    <w:abstractNumId w:val="22"/>
  </w:num>
  <w:num w:numId="7">
    <w:abstractNumId w:val="20"/>
  </w:num>
  <w:num w:numId="8">
    <w:abstractNumId w:val="43"/>
  </w:num>
  <w:num w:numId="9">
    <w:abstractNumId w:val="31"/>
  </w:num>
  <w:num w:numId="10">
    <w:abstractNumId w:val="17"/>
  </w:num>
  <w:num w:numId="11">
    <w:abstractNumId w:val="0"/>
  </w:num>
  <w:num w:numId="12">
    <w:abstractNumId w:val="33"/>
  </w:num>
  <w:num w:numId="13">
    <w:abstractNumId w:val="22"/>
    <w:lvlOverride w:ilvl="0">
      <w:startOverride w:val="1"/>
    </w:lvlOverride>
  </w:num>
  <w:num w:numId="14">
    <w:abstractNumId w:val="26"/>
  </w:num>
  <w:num w:numId="15">
    <w:abstractNumId w:val="44"/>
  </w:num>
  <w:num w:numId="16">
    <w:abstractNumId w:val="13"/>
  </w:num>
  <w:num w:numId="17">
    <w:abstractNumId w:val="37"/>
  </w:num>
  <w:num w:numId="18">
    <w:abstractNumId w:val="36"/>
  </w:num>
  <w:num w:numId="19">
    <w:abstractNumId w:val="8"/>
  </w:num>
  <w:num w:numId="20">
    <w:abstractNumId w:val="4"/>
  </w:num>
  <w:num w:numId="21">
    <w:abstractNumId w:val="34"/>
  </w:num>
  <w:num w:numId="22">
    <w:abstractNumId w:val="25"/>
  </w:num>
  <w:num w:numId="23">
    <w:abstractNumId w:val="5"/>
  </w:num>
  <w:num w:numId="24">
    <w:abstractNumId w:val="41"/>
  </w:num>
  <w:num w:numId="25">
    <w:abstractNumId w:val="39"/>
  </w:num>
  <w:num w:numId="26">
    <w:abstractNumId w:val="16"/>
  </w:num>
  <w:num w:numId="27">
    <w:abstractNumId w:val="29"/>
  </w:num>
  <w:num w:numId="28">
    <w:abstractNumId w:val="9"/>
  </w:num>
  <w:num w:numId="29">
    <w:abstractNumId w:val="38"/>
  </w:num>
  <w:num w:numId="30">
    <w:abstractNumId w:val="15"/>
  </w:num>
  <w:num w:numId="31">
    <w:abstractNumId w:val="19"/>
  </w:num>
  <w:num w:numId="32">
    <w:abstractNumId w:val="6"/>
  </w:num>
  <w:num w:numId="33">
    <w:abstractNumId w:val="23"/>
  </w:num>
  <w:num w:numId="34">
    <w:abstractNumId w:val="1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4"/>
  </w:num>
  <w:num w:numId="4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7"/>
  </w:num>
  <w:num w:numId="46">
    <w:abstractNumId w:val="28"/>
  </w:num>
  <w:num w:numId="47">
    <w:abstractNumId w:val="42"/>
  </w:num>
  <w:num w:numId="48">
    <w:abstractNumId w:val="12"/>
  </w:num>
  <w:num w:numId="49">
    <w:abstractNumId w:val="11"/>
  </w:num>
  <w:num w:numId="5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68C8"/>
    <w:rsid w:val="000314D7"/>
    <w:rsid w:val="0003185A"/>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33E0C"/>
    <w:rsid w:val="001356F1"/>
    <w:rsid w:val="00136994"/>
    <w:rsid w:val="0014128E"/>
    <w:rsid w:val="00146C4F"/>
    <w:rsid w:val="00151888"/>
    <w:rsid w:val="00156BFE"/>
    <w:rsid w:val="001606C2"/>
    <w:rsid w:val="00160901"/>
    <w:rsid w:val="00170A2D"/>
    <w:rsid w:val="00171D89"/>
    <w:rsid w:val="00175E59"/>
    <w:rsid w:val="001761CB"/>
    <w:rsid w:val="001808BC"/>
    <w:rsid w:val="00182B81"/>
    <w:rsid w:val="0018619D"/>
    <w:rsid w:val="00186258"/>
    <w:rsid w:val="00195B34"/>
    <w:rsid w:val="001A011E"/>
    <w:rsid w:val="001A066A"/>
    <w:rsid w:val="001A13E6"/>
    <w:rsid w:val="001A530C"/>
    <w:rsid w:val="001A5731"/>
    <w:rsid w:val="001B3EBB"/>
    <w:rsid w:val="001B42C3"/>
    <w:rsid w:val="001C3084"/>
    <w:rsid w:val="001C5D5E"/>
    <w:rsid w:val="001D4D6D"/>
    <w:rsid w:val="001D5A64"/>
    <w:rsid w:val="001D678D"/>
    <w:rsid w:val="001E03F8"/>
    <w:rsid w:val="001E1678"/>
    <w:rsid w:val="001E266B"/>
    <w:rsid w:val="001E3376"/>
    <w:rsid w:val="001F20DE"/>
    <w:rsid w:val="001F31D2"/>
    <w:rsid w:val="00203C5C"/>
    <w:rsid w:val="002069B3"/>
    <w:rsid w:val="002162B8"/>
    <w:rsid w:val="002171F4"/>
    <w:rsid w:val="002241ED"/>
    <w:rsid w:val="002329CF"/>
    <w:rsid w:val="00232F5B"/>
    <w:rsid w:val="00247C29"/>
    <w:rsid w:val="00260467"/>
    <w:rsid w:val="00262A9D"/>
    <w:rsid w:val="00263EA3"/>
    <w:rsid w:val="00264568"/>
    <w:rsid w:val="002738A2"/>
    <w:rsid w:val="00281AAF"/>
    <w:rsid w:val="00283B69"/>
    <w:rsid w:val="00284F85"/>
    <w:rsid w:val="00290915"/>
    <w:rsid w:val="002A100D"/>
    <w:rsid w:val="002A22E2"/>
    <w:rsid w:val="002A2D09"/>
    <w:rsid w:val="002A4510"/>
    <w:rsid w:val="002B12F2"/>
    <w:rsid w:val="002C64F7"/>
    <w:rsid w:val="002D053C"/>
    <w:rsid w:val="002E6689"/>
    <w:rsid w:val="002F41F2"/>
    <w:rsid w:val="00301BF3"/>
    <w:rsid w:val="0030208D"/>
    <w:rsid w:val="003035D9"/>
    <w:rsid w:val="003058CB"/>
    <w:rsid w:val="00307A24"/>
    <w:rsid w:val="003165D8"/>
    <w:rsid w:val="00323418"/>
    <w:rsid w:val="00325AA3"/>
    <w:rsid w:val="003357BF"/>
    <w:rsid w:val="003464E1"/>
    <w:rsid w:val="00361C76"/>
    <w:rsid w:val="0036423D"/>
    <w:rsid w:val="00364FAD"/>
    <w:rsid w:val="0036738F"/>
    <w:rsid w:val="0036759C"/>
    <w:rsid w:val="00367AE5"/>
    <w:rsid w:val="00367D71"/>
    <w:rsid w:val="00370027"/>
    <w:rsid w:val="0037015A"/>
    <w:rsid w:val="00370487"/>
    <w:rsid w:val="00373BD7"/>
    <w:rsid w:val="00375BE2"/>
    <w:rsid w:val="0038150A"/>
    <w:rsid w:val="0039194E"/>
    <w:rsid w:val="0039357B"/>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1652A"/>
    <w:rsid w:val="0042030E"/>
    <w:rsid w:val="00420DB0"/>
    <w:rsid w:val="004211ED"/>
    <w:rsid w:val="00421CB2"/>
    <w:rsid w:val="004268B9"/>
    <w:rsid w:val="00433B96"/>
    <w:rsid w:val="004365F8"/>
    <w:rsid w:val="004440F1"/>
    <w:rsid w:val="004456DD"/>
    <w:rsid w:val="00446CDF"/>
    <w:rsid w:val="00450474"/>
    <w:rsid w:val="004521B7"/>
    <w:rsid w:val="004548E3"/>
    <w:rsid w:val="00457873"/>
    <w:rsid w:val="00462AB5"/>
    <w:rsid w:val="004653AD"/>
    <w:rsid w:val="00465EAF"/>
    <w:rsid w:val="004711FC"/>
    <w:rsid w:val="004738C5"/>
    <w:rsid w:val="00473F3E"/>
    <w:rsid w:val="00475860"/>
    <w:rsid w:val="00477BE1"/>
    <w:rsid w:val="004804B9"/>
    <w:rsid w:val="00484329"/>
    <w:rsid w:val="00487092"/>
    <w:rsid w:val="00491046"/>
    <w:rsid w:val="004A043B"/>
    <w:rsid w:val="004A27B5"/>
    <w:rsid w:val="004A2AC7"/>
    <w:rsid w:val="004A3E93"/>
    <w:rsid w:val="004A6D2F"/>
    <w:rsid w:val="004B1835"/>
    <w:rsid w:val="004C0C86"/>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A10AD"/>
    <w:rsid w:val="005A1B43"/>
    <w:rsid w:val="005A34E4"/>
    <w:rsid w:val="005A60D1"/>
    <w:rsid w:val="005B17F2"/>
    <w:rsid w:val="005B195B"/>
    <w:rsid w:val="005B7FB0"/>
    <w:rsid w:val="005C35A5"/>
    <w:rsid w:val="005C577C"/>
    <w:rsid w:val="005C7E85"/>
    <w:rsid w:val="005D0621"/>
    <w:rsid w:val="005D1E27"/>
    <w:rsid w:val="005D2A3E"/>
    <w:rsid w:val="005E022E"/>
    <w:rsid w:val="005E38FD"/>
    <w:rsid w:val="005E4D5E"/>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A3B17"/>
    <w:rsid w:val="007A7DDC"/>
    <w:rsid w:val="007B0C2C"/>
    <w:rsid w:val="007B18DF"/>
    <w:rsid w:val="007B278E"/>
    <w:rsid w:val="007C0DE5"/>
    <w:rsid w:val="007C160C"/>
    <w:rsid w:val="007C365E"/>
    <w:rsid w:val="007C5C23"/>
    <w:rsid w:val="007E2A26"/>
    <w:rsid w:val="007E4CEC"/>
    <w:rsid w:val="007F2348"/>
    <w:rsid w:val="00803F07"/>
    <w:rsid w:val="008042E9"/>
    <w:rsid w:val="0080749A"/>
    <w:rsid w:val="0081127D"/>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D10B0"/>
    <w:rsid w:val="008D11F4"/>
    <w:rsid w:val="008D3DDB"/>
    <w:rsid w:val="008E78E1"/>
    <w:rsid w:val="008F261E"/>
    <w:rsid w:val="008F2CDD"/>
    <w:rsid w:val="008F573F"/>
    <w:rsid w:val="008F70A7"/>
    <w:rsid w:val="008F7CC4"/>
    <w:rsid w:val="009034EC"/>
    <w:rsid w:val="00907C0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3678"/>
    <w:rsid w:val="009F7618"/>
    <w:rsid w:val="00A0266C"/>
    <w:rsid w:val="00A04D23"/>
    <w:rsid w:val="00A06766"/>
    <w:rsid w:val="00A0771E"/>
    <w:rsid w:val="00A10491"/>
    <w:rsid w:val="00A10FD4"/>
    <w:rsid w:val="00A12CB8"/>
    <w:rsid w:val="00A130EB"/>
    <w:rsid w:val="00A13765"/>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D8F"/>
    <w:rsid w:val="00A955E7"/>
    <w:rsid w:val="00A97094"/>
    <w:rsid w:val="00AB2988"/>
    <w:rsid w:val="00AB4DB4"/>
    <w:rsid w:val="00AB5546"/>
    <w:rsid w:val="00AB5D12"/>
    <w:rsid w:val="00AB7999"/>
    <w:rsid w:val="00AC3EAA"/>
    <w:rsid w:val="00AD182A"/>
    <w:rsid w:val="00AD3292"/>
    <w:rsid w:val="00AD651C"/>
    <w:rsid w:val="00AD78FD"/>
    <w:rsid w:val="00AE6397"/>
    <w:rsid w:val="00AE7AF0"/>
    <w:rsid w:val="00AF1F30"/>
    <w:rsid w:val="00AF5B39"/>
    <w:rsid w:val="00AF62B4"/>
    <w:rsid w:val="00B02023"/>
    <w:rsid w:val="00B044C6"/>
    <w:rsid w:val="00B1504F"/>
    <w:rsid w:val="00B316F4"/>
    <w:rsid w:val="00B31F0C"/>
    <w:rsid w:val="00B3365D"/>
    <w:rsid w:val="00B350A9"/>
    <w:rsid w:val="00B35A1F"/>
    <w:rsid w:val="00B423A6"/>
    <w:rsid w:val="00B500CA"/>
    <w:rsid w:val="00B53D92"/>
    <w:rsid w:val="00B61BAC"/>
    <w:rsid w:val="00B620EE"/>
    <w:rsid w:val="00B72DE8"/>
    <w:rsid w:val="00B86314"/>
    <w:rsid w:val="00B868E6"/>
    <w:rsid w:val="00BA1C2E"/>
    <w:rsid w:val="00BA453E"/>
    <w:rsid w:val="00BC200B"/>
    <w:rsid w:val="00BC2969"/>
    <w:rsid w:val="00BC4756"/>
    <w:rsid w:val="00BC69A4"/>
    <w:rsid w:val="00BC6E74"/>
    <w:rsid w:val="00BD0A36"/>
    <w:rsid w:val="00BD1A6B"/>
    <w:rsid w:val="00BE0680"/>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0B11"/>
    <w:rsid w:val="00C41187"/>
    <w:rsid w:val="00C44B54"/>
    <w:rsid w:val="00C53BE7"/>
    <w:rsid w:val="00C63BC2"/>
    <w:rsid w:val="00C63C31"/>
    <w:rsid w:val="00C7349D"/>
    <w:rsid w:val="00C757A0"/>
    <w:rsid w:val="00C760DE"/>
    <w:rsid w:val="00C82630"/>
    <w:rsid w:val="00C82AC0"/>
    <w:rsid w:val="00C85B4E"/>
    <w:rsid w:val="00C905BB"/>
    <w:rsid w:val="00C907F7"/>
    <w:rsid w:val="00C92729"/>
    <w:rsid w:val="00CA2103"/>
    <w:rsid w:val="00CB6B99"/>
    <w:rsid w:val="00CC68B0"/>
    <w:rsid w:val="00CD6438"/>
    <w:rsid w:val="00CE4C87"/>
    <w:rsid w:val="00CE544A"/>
    <w:rsid w:val="00CF2861"/>
    <w:rsid w:val="00D0204E"/>
    <w:rsid w:val="00D04CB0"/>
    <w:rsid w:val="00D11E1C"/>
    <w:rsid w:val="00D12FA3"/>
    <w:rsid w:val="00D160B0"/>
    <w:rsid w:val="00D17F94"/>
    <w:rsid w:val="00D20A1A"/>
    <w:rsid w:val="00D223FC"/>
    <w:rsid w:val="00D23D3A"/>
    <w:rsid w:val="00D26D1E"/>
    <w:rsid w:val="00D27868"/>
    <w:rsid w:val="00D460CD"/>
    <w:rsid w:val="00D474CF"/>
    <w:rsid w:val="00D50A9C"/>
    <w:rsid w:val="00D5547E"/>
    <w:rsid w:val="00D6495D"/>
    <w:rsid w:val="00D664D2"/>
    <w:rsid w:val="00D777C2"/>
    <w:rsid w:val="00D81CEF"/>
    <w:rsid w:val="00D843C3"/>
    <w:rsid w:val="00D869A1"/>
    <w:rsid w:val="00D91DD2"/>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45BC"/>
    <w:rsid w:val="00DE0FB2"/>
    <w:rsid w:val="00DE12F5"/>
    <w:rsid w:val="00DF093E"/>
    <w:rsid w:val="00E01F42"/>
    <w:rsid w:val="00E13656"/>
    <w:rsid w:val="00E14D46"/>
    <w:rsid w:val="00E17C83"/>
    <w:rsid w:val="00E206D6"/>
    <w:rsid w:val="00E21747"/>
    <w:rsid w:val="00E256BE"/>
    <w:rsid w:val="00E30BB3"/>
    <w:rsid w:val="00E30EF2"/>
    <w:rsid w:val="00E3318B"/>
    <w:rsid w:val="00E3366E"/>
    <w:rsid w:val="00E34794"/>
    <w:rsid w:val="00E52086"/>
    <w:rsid w:val="00E543A6"/>
    <w:rsid w:val="00E60479"/>
    <w:rsid w:val="00E61D73"/>
    <w:rsid w:val="00E66993"/>
    <w:rsid w:val="00E73684"/>
    <w:rsid w:val="00E818D6"/>
    <w:rsid w:val="00E87F7A"/>
    <w:rsid w:val="00E96BD7"/>
    <w:rsid w:val="00EA0DB1"/>
    <w:rsid w:val="00EA0EE9"/>
    <w:rsid w:val="00EA1336"/>
    <w:rsid w:val="00EA29B5"/>
    <w:rsid w:val="00EB5B71"/>
    <w:rsid w:val="00EB7D34"/>
    <w:rsid w:val="00ED52CA"/>
    <w:rsid w:val="00ED5860"/>
    <w:rsid w:val="00EE1528"/>
    <w:rsid w:val="00EE35C9"/>
    <w:rsid w:val="00EE36FD"/>
    <w:rsid w:val="00EF43CD"/>
    <w:rsid w:val="00F05ECA"/>
    <w:rsid w:val="00F0637E"/>
    <w:rsid w:val="00F11964"/>
    <w:rsid w:val="00F12BCD"/>
    <w:rsid w:val="00F13EB5"/>
    <w:rsid w:val="00F229B8"/>
    <w:rsid w:val="00F3566E"/>
    <w:rsid w:val="00F375FB"/>
    <w:rsid w:val="00F41AC1"/>
    <w:rsid w:val="00F4367A"/>
    <w:rsid w:val="00F445B1"/>
    <w:rsid w:val="00F45CD4"/>
    <w:rsid w:val="00F524C3"/>
    <w:rsid w:val="00F537FC"/>
    <w:rsid w:val="00F66DCA"/>
    <w:rsid w:val="00F73D39"/>
    <w:rsid w:val="00F74F53"/>
    <w:rsid w:val="00F7606D"/>
    <w:rsid w:val="00F81670"/>
    <w:rsid w:val="00F82024"/>
    <w:rsid w:val="00F8225B"/>
    <w:rsid w:val="00F937BE"/>
    <w:rsid w:val="00F95BC9"/>
    <w:rsid w:val="00F972F7"/>
    <w:rsid w:val="00FA165B"/>
    <w:rsid w:val="00FA3091"/>
    <w:rsid w:val="00FA624C"/>
    <w:rsid w:val="00FB2B61"/>
    <w:rsid w:val="00FB7646"/>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72B9B1"/>
  <w15:docId w15:val="{E6CC6C49-B22E-4CE4-A4AB-F4F25CA1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nfield@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D919-EA4F-4E8A-9948-9920EC3F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243EE8FF.dotm</Template>
  <TotalTime>0</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THOMPSON Jennifer</cp:lastModifiedBy>
  <cp:revision>2</cp:revision>
  <cp:lastPrinted>2019-08-28T11:12:00Z</cp:lastPrinted>
  <dcterms:created xsi:type="dcterms:W3CDTF">2020-06-15T15:52:00Z</dcterms:created>
  <dcterms:modified xsi:type="dcterms:W3CDTF">2020-06-15T15:52:00Z</dcterms:modified>
</cp:coreProperties>
</file>